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175783" w:rsidRPr="00B210F2" w:rsidRDefault="00175783" w:rsidP="00B210F2">
      <w:pPr>
        <w:spacing w:after="0"/>
        <w:jc w:val="center"/>
        <w:rPr>
          <w:szCs w:val="24"/>
        </w:rPr>
      </w:pPr>
    </w:p>
    <w:p w:rsidR="00D53B8C" w:rsidRPr="00B210F2" w:rsidRDefault="0051789A" w:rsidP="00B210F2">
      <w:pPr>
        <w:spacing w:after="0"/>
        <w:jc w:val="center"/>
        <w:rPr>
          <w:szCs w:val="24"/>
        </w:rPr>
      </w:pPr>
      <w:bookmarkStart w:id="0" w:name="_GoBack"/>
      <w:r w:rsidRPr="00B210F2">
        <w:rPr>
          <w:color w:val="1D1D1D"/>
          <w:szCs w:val="24"/>
        </w:rPr>
        <w:t>HCM 308</w:t>
      </w:r>
    </w:p>
    <w:bookmarkEnd w:id="0"/>
    <w:p w:rsidR="00790ECD" w:rsidRPr="00B210F2" w:rsidRDefault="00175783" w:rsidP="00B210F2">
      <w:pPr>
        <w:spacing w:after="0"/>
        <w:jc w:val="center"/>
        <w:rPr>
          <w:szCs w:val="24"/>
        </w:rPr>
      </w:pPr>
      <w:r w:rsidRPr="00B210F2">
        <w:rPr>
          <w:szCs w:val="24"/>
        </w:rPr>
        <w:t>Student’s Name</w:t>
      </w:r>
    </w:p>
    <w:p w:rsidR="00175783" w:rsidRPr="00B210F2" w:rsidRDefault="00175783" w:rsidP="00B210F2">
      <w:pPr>
        <w:spacing w:after="0"/>
        <w:jc w:val="center"/>
        <w:rPr>
          <w:szCs w:val="24"/>
        </w:rPr>
      </w:pPr>
      <w:r w:rsidRPr="00B210F2">
        <w:rPr>
          <w:szCs w:val="24"/>
        </w:rPr>
        <w:t>Institution</w:t>
      </w:r>
    </w:p>
    <w:p w:rsidR="005E1C46" w:rsidRPr="00B210F2" w:rsidRDefault="005E1C46" w:rsidP="00B210F2">
      <w:pPr>
        <w:spacing w:after="0"/>
        <w:jc w:val="center"/>
        <w:rPr>
          <w:szCs w:val="24"/>
        </w:rPr>
      </w:pPr>
      <w:r w:rsidRPr="00B210F2">
        <w:rPr>
          <w:szCs w:val="24"/>
        </w:rPr>
        <w:t>Date</w:t>
      </w:r>
    </w:p>
    <w:p w:rsidR="0051789A" w:rsidRPr="00B210F2" w:rsidRDefault="00175783" w:rsidP="00B210F2">
      <w:pPr>
        <w:spacing w:after="0"/>
        <w:ind w:firstLine="284"/>
        <w:jc w:val="center"/>
        <w:rPr>
          <w:szCs w:val="24"/>
        </w:rPr>
      </w:pPr>
      <w:r w:rsidRPr="00B210F2">
        <w:rPr>
          <w:szCs w:val="24"/>
        </w:rPr>
        <w:br w:type="page"/>
      </w:r>
      <w:r w:rsidR="0051789A" w:rsidRPr="00B210F2">
        <w:rPr>
          <w:color w:val="1D1D1D"/>
          <w:szCs w:val="24"/>
        </w:rPr>
        <w:lastRenderedPageBreak/>
        <w:t xml:space="preserve">HCM 308 </w:t>
      </w:r>
    </w:p>
    <w:p w:rsidR="0051789A" w:rsidRPr="00B210F2" w:rsidRDefault="0051789A" w:rsidP="00B210F2">
      <w:pPr>
        <w:spacing w:after="0"/>
        <w:rPr>
          <w:b/>
          <w:szCs w:val="24"/>
        </w:rPr>
      </w:pPr>
      <w:r w:rsidRPr="00B210F2">
        <w:rPr>
          <w:b/>
          <w:szCs w:val="24"/>
        </w:rPr>
        <w:t>12</w:t>
      </w:r>
      <w:r w:rsidR="00B210F2" w:rsidRPr="00B210F2">
        <w:rPr>
          <w:b/>
          <w:szCs w:val="24"/>
        </w:rPr>
        <w:t xml:space="preserve">.  </w:t>
      </w:r>
      <w:r w:rsidR="00B210F2" w:rsidRPr="00B210F2">
        <w:rPr>
          <w:b/>
          <w:color w:val="212529"/>
          <w:szCs w:val="24"/>
          <w:shd w:val="clear" w:color="auto" w:fill="FFFFFF"/>
        </w:rPr>
        <w:t>Choose any form of workplace discrimination. Describe the law that applies to this form of discrimination and how it is relevant. Analyze the impact on the workplace of this type of discrimination. How does an ethical workplace culture impact incidences of discrimination? Explain</w:t>
      </w:r>
      <w:r w:rsidR="00B210F2" w:rsidRPr="00B210F2">
        <w:rPr>
          <w:b/>
          <w:szCs w:val="24"/>
        </w:rPr>
        <w:t xml:space="preserve"> </w:t>
      </w:r>
    </w:p>
    <w:p w:rsidR="0051789A" w:rsidRPr="00B210F2" w:rsidRDefault="0051789A" w:rsidP="00B210F2">
      <w:pPr>
        <w:spacing w:after="0"/>
        <w:ind w:firstLine="720"/>
        <w:rPr>
          <w:szCs w:val="24"/>
        </w:rPr>
      </w:pPr>
      <w:r w:rsidRPr="00B210F2">
        <w:rPr>
          <w:szCs w:val="24"/>
        </w:rPr>
        <w:t xml:space="preserve">Workplace discrimination involves the use of unlawful methods when hiring, promoting, discharging, and referring employees. An example of workplace discrimination is excluding potential employees during job appraisal. Such discrimination can get done by managers when favoring a particular race at the workplace. The Civil Rights Act of 1964 gets applied at the workplace to ensure discrimination against race gets eliminated (Jackson, 2020). Any organization found liable for promoting discrimination when conducting job appraisal face lawsuit. All employees understand their rights through the use of the Civil Rights Act of 1964. The law is relevant through getting practiced by all institutions. Job appraisal discrimination does not motivate workers leading to lower productivity. Ethical workplace culture creates an atmosphere of equality amongst all workers. No discrimination involving races gets used in ensuring job appraisal gets undertaken amongst employees. Productive performance of employees would get used for job promotions. </w:t>
      </w:r>
    </w:p>
    <w:p w:rsidR="00B210F2" w:rsidRPr="00B210F2" w:rsidRDefault="0051789A" w:rsidP="00B210F2">
      <w:pPr>
        <w:spacing w:after="0"/>
        <w:rPr>
          <w:b/>
          <w:color w:val="212529"/>
          <w:szCs w:val="24"/>
          <w:shd w:val="clear" w:color="auto" w:fill="FFFFFF"/>
        </w:rPr>
      </w:pPr>
      <w:r w:rsidRPr="00B210F2">
        <w:rPr>
          <w:b/>
          <w:szCs w:val="24"/>
        </w:rPr>
        <w:t>13</w:t>
      </w:r>
      <w:r w:rsidR="00B210F2" w:rsidRPr="00B210F2">
        <w:rPr>
          <w:b/>
          <w:szCs w:val="24"/>
        </w:rPr>
        <w:t xml:space="preserve">. </w:t>
      </w:r>
      <w:r w:rsidR="00B210F2" w:rsidRPr="00B210F2">
        <w:rPr>
          <w:b/>
          <w:color w:val="212529"/>
          <w:szCs w:val="24"/>
          <w:shd w:val="clear" w:color="auto" w:fill="FFFFFF"/>
        </w:rPr>
        <w:t>Choose two common termination errors from the </w:t>
      </w:r>
      <w:r w:rsidR="00B210F2" w:rsidRPr="00B210F2">
        <w:rPr>
          <w:rStyle w:val="Emphasis"/>
          <w:b/>
          <w:color w:val="212529"/>
          <w:szCs w:val="24"/>
          <w:shd w:val="clear" w:color="auto" w:fill="FFFFFF"/>
        </w:rPr>
        <w:t>HR Specialist</w:t>
      </w:r>
      <w:r w:rsidR="00B210F2" w:rsidRPr="00B210F2">
        <w:rPr>
          <w:b/>
          <w:color w:val="212529"/>
          <w:szCs w:val="24"/>
          <w:shd w:val="clear" w:color="auto" w:fill="FFFFFF"/>
        </w:rPr>
        <w:t> article and suggest strategies that you, acting as a healthcare administrator, might implement to avoid them.</w:t>
      </w:r>
    </w:p>
    <w:p w:rsidR="0051789A" w:rsidRPr="00B210F2" w:rsidRDefault="0051789A" w:rsidP="00B210F2">
      <w:pPr>
        <w:spacing w:after="0"/>
        <w:ind w:firstLine="720"/>
        <w:rPr>
          <w:szCs w:val="24"/>
        </w:rPr>
      </w:pPr>
      <w:r w:rsidRPr="00B210F2">
        <w:rPr>
          <w:szCs w:val="24"/>
        </w:rPr>
        <w:t xml:space="preserve">Termination errors that exist in HR specialists include disregard for training and inadequate HR policies. Primarily, disregard for training makes incompetent workers get employed. Employees without qualified training prevent the creation of value growth in the job positions they hold (Tamm, 2018). Secondly, inadequate HR policies do not provide guidelines </w:t>
      </w:r>
      <w:r w:rsidRPr="00B210F2">
        <w:rPr>
          <w:szCs w:val="24"/>
        </w:rPr>
        <w:lastRenderedPageBreak/>
        <w:t xml:space="preserve">to get used in completing tasks. High cases of strikes would get recorded because of a lack of understanding amongst employees. As a health administrator, I would create a team that would train new employees. The team would assist in providing effective information for jobs that employees would perform. The team would increase the knowledge of the new employees. Again, I would make sure HR policies for the organization get formulated and implemented. It would provide guidelines for all activities that need to get adhered to by all workers. </w:t>
      </w:r>
    </w:p>
    <w:p w:rsidR="00B210F2" w:rsidRPr="00B210F2" w:rsidRDefault="0051789A" w:rsidP="00B210F2">
      <w:pPr>
        <w:spacing w:after="0"/>
        <w:rPr>
          <w:b/>
          <w:color w:val="212529"/>
          <w:szCs w:val="24"/>
          <w:shd w:val="clear" w:color="auto" w:fill="FFFFFF"/>
        </w:rPr>
      </w:pPr>
      <w:r w:rsidRPr="00B210F2">
        <w:rPr>
          <w:b/>
          <w:szCs w:val="24"/>
        </w:rPr>
        <w:t>14</w:t>
      </w:r>
      <w:r w:rsidR="00B210F2" w:rsidRPr="00B210F2">
        <w:rPr>
          <w:b/>
          <w:szCs w:val="24"/>
        </w:rPr>
        <w:t xml:space="preserve">. </w:t>
      </w:r>
      <w:r w:rsidR="00B210F2" w:rsidRPr="00B210F2">
        <w:rPr>
          <w:b/>
          <w:color w:val="212529"/>
          <w:szCs w:val="24"/>
          <w:shd w:val="clear" w:color="auto" w:fill="FFFFFF"/>
        </w:rPr>
        <w:t>Choose three best practices/tips from the textbook (Chapter 18), and discuss how each may improve patient care and protect the organization from potential litigation. Where appropriate, discuss the ethical component of the best practice. </w:t>
      </w:r>
    </w:p>
    <w:p w:rsidR="0051789A" w:rsidRPr="00B210F2" w:rsidRDefault="0051789A" w:rsidP="00B210F2">
      <w:pPr>
        <w:spacing w:after="0"/>
        <w:ind w:firstLine="720"/>
        <w:rPr>
          <w:szCs w:val="24"/>
        </w:rPr>
      </w:pPr>
      <w:r w:rsidRPr="00B210F2">
        <w:rPr>
          <w:szCs w:val="24"/>
        </w:rPr>
        <w:t xml:space="preserve">Improvement of patient care and protecting an organization from potential litigation can get done through the use of some best practices. Firstly, establishing a good patient and caregiver relationship. A good relationship between doctors and patients would promote improved care for sick people. Clinicians would determine the medical problems of patients and provide treatments appropriately. The lawsuit would get prevented by improving the relationship between caregivers and patients. Secondly, improving access to health care must get done. Patients would get take care of by the medics. Diagnosis of diseases would get made followed by distinct treatment that increases patients' health. The lawsuit that gets applied by patients when wrong medical practices get performed would not get reported. Thirdly, collecting data and analyzing patient outcomes would help avoid negligence. Patients' health outcomes would get gathered and used for analysis. </w:t>
      </w:r>
    </w:p>
    <w:p w:rsidR="00B210F2" w:rsidRPr="00B210F2" w:rsidRDefault="0051789A" w:rsidP="00B210F2">
      <w:pPr>
        <w:pStyle w:val="Heading5"/>
        <w:shd w:val="clear" w:color="auto" w:fill="FFFFFF"/>
        <w:spacing w:before="0" w:beforeAutospacing="0" w:after="0" w:afterAutospacing="0" w:line="480" w:lineRule="auto"/>
        <w:rPr>
          <w:color w:val="212529"/>
          <w:sz w:val="24"/>
          <w:szCs w:val="24"/>
        </w:rPr>
      </w:pPr>
      <w:r w:rsidRPr="00B210F2">
        <w:rPr>
          <w:sz w:val="24"/>
          <w:szCs w:val="24"/>
        </w:rPr>
        <w:t>15</w:t>
      </w:r>
      <w:r w:rsidR="00B210F2" w:rsidRPr="00B210F2">
        <w:rPr>
          <w:sz w:val="24"/>
          <w:szCs w:val="24"/>
        </w:rPr>
        <w:t xml:space="preserve">. </w:t>
      </w:r>
      <w:r w:rsidR="00B210F2" w:rsidRPr="00B210F2">
        <w:rPr>
          <w:bCs w:val="0"/>
          <w:color w:val="212529"/>
          <w:sz w:val="24"/>
          <w:szCs w:val="24"/>
        </w:rPr>
        <w:t xml:space="preserve">Why the Affordable Care Act? </w:t>
      </w:r>
      <w:r w:rsidR="00B210F2" w:rsidRPr="00B210F2">
        <w:rPr>
          <w:color w:val="212529"/>
          <w:sz w:val="24"/>
          <w:szCs w:val="24"/>
        </w:rPr>
        <w:t>What principles and ethics underlie the Affordable Care Act? What are its strengths and weaknesses? What principles and ethics underlie the criticisms of its opponents? What is the impact of this legislation for patients? What is the impact of this legislation for the healthcare field?</w:t>
      </w:r>
    </w:p>
    <w:p w:rsidR="0051789A" w:rsidRPr="00B210F2" w:rsidRDefault="0051789A" w:rsidP="00B210F2">
      <w:pPr>
        <w:spacing w:after="0"/>
        <w:ind w:firstLine="720"/>
        <w:rPr>
          <w:szCs w:val="24"/>
        </w:rPr>
      </w:pPr>
      <w:r w:rsidRPr="00B210F2">
        <w:rPr>
          <w:szCs w:val="24"/>
        </w:rPr>
        <w:lastRenderedPageBreak/>
        <w:t xml:space="preserve">The Affordable Care Act depends on principles and ethics of justice, compassion, and equality of opportunity. The health conditions of people must get upheld through the three principles and ethics. The strength of the Affordable Care Act includes the use of subsidies. It should offer financial help and offering preventive care (Gaffney, &amp; McCormick, 2017). Conversely, it has weaknesses of no cost reduction for all people, and shopping coverage gets complicated. The opponents of the Affordable Care Act allude that it does not create inclusivity as Medicaid. The coverage of Medicaid includes uninsured Americans under 138% of the poverty level. The Affordable Care Act covers few people in different states that make it receive much criticism. The legislation of Affordable Care Act assures patients of getting medication that is not expensive. Patients can achieve treatment after making appropriate health care plans. The health care field would abide by the guidelines of the legislation to improve competency. </w:t>
      </w:r>
    </w:p>
    <w:p w:rsidR="00B210F2" w:rsidRPr="00B210F2" w:rsidRDefault="0051789A" w:rsidP="00B210F2">
      <w:pPr>
        <w:pStyle w:val="Heading5"/>
        <w:shd w:val="clear" w:color="auto" w:fill="FFFFFF"/>
        <w:spacing w:before="0" w:beforeAutospacing="0" w:after="0" w:afterAutospacing="0" w:line="480" w:lineRule="auto"/>
        <w:rPr>
          <w:color w:val="212529"/>
          <w:sz w:val="24"/>
          <w:szCs w:val="24"/>
        </w:rPr>
      </w:pPr>
      <w:r w:rsidRPr="00B210F2">
        <w:rPr>
          <w:sz w:val="24"/>
          <w:szCs w:val="24"/>
        </w:rPr>
        <w:t>16</w:t>
      </w:r>
      <w:r w:rsidR="00B210F2" w:rsidRPr="00B210F2">
        <w:rPr>
          <w:sz w:val="24"/>
          <w:szCs w:val="24"/>
        </w:rPr>
        <w:t xml:space="preserve">. </w:t>
      </w:r>
      <w:r w:rsidR="00B210F2" w:rsidRPr="00B210F2">
        <w:rPr>
          <w:bCs w:val="0"/>
          <w:color w:val="212529"/>
          <w:sz w:val="24"/>
          <w:szCs w:val="24"/>
        </w:rPr>
        <w:t xml:space="preserve">Creating a Culture of Safety. </w:t>
      </w:r>
      <w:r w:rsidR="00B210F2" w:rsidRPr="00B210F2">
        <w:rPr>
          <w:color w:val="212529"/>
          <w:sz w:val="24"/>
          <w:szCs w:val="24"/>
        </w:rPr>
        <w:t>What are the ethical and legal justifications for creating a workplace culture that promotes safety? Discuss specific steps you could take to create such a culture.</w:t>
      </w:r>
    </w:p>
    <w:p w:rsidR="0051789A" w:rsidRPr="00B210F2" w:rsidRDefault="0051789A" w:rsidP="00B210F2">
      <w:pPr>
        <w:spacing w:after="0"/>
        <w:ind w:firstLine="720"/>
        <w:rPr>
          <w:szCs w:val="24"/>
        </w:rPr>
      </w:pPr>
      <w:r w:rsidRPr="00B210F2">
        <w:rPr>
          <w:szCs w:val="24"/>
        </w:rPr>
        <w:t xml:space="preserve">Ethical justification involves promoting higher employee job satisfaction, increased cooperation, and change management success. Workplace culture assists in making employees relate effectively and achieve the set goals. Safety improves teamwork that eliminates conflicts amongst workers. Effective working relationships would get developed in a company to increase the performance of activities in unity (Ting-Toomey, &amp; Dorjee, 2018). Building a workplace culture involves specific steps. I would emphasize employee wellness. Then, I would grow the current workplace culture and provide its meaning. I would then create goals and encourage positivity to achieve them. Lastly, I would foster social interactions that would improve the </w:t>
      </w:r>
      <w:r w:rsidRPr="00B210F2">
        <w:rPr>
          <w:szCs w:val="24"/>
        </w:rPr>
        <w:lastRenderedPageBreak/>
        <w:t>relationship between employer and employees. Workplace cultures that promote increased productivity are vital for getting used in organizations to make safety a priority.</w:t>
      </w:r>
    </w:p>
    <w:p w:rsidR="00B210F2" w:rsidRPr="00B210F2" w:rsidRDefault="0051789A" w:rsidP="00B210F2">
      <w:pPr>
        <w:shd w:val="clear" w:color="auto" w:fill="FFFFFF"/>
        <w:spacing w:after="0"/>
        <w:rPr>
          <w:b/>
          <w:color w:val="212529"/>
          <w:szCs w:val="24"/>
        </w:rPr>
      </w:pPr>
      <w:r w:rsidRPr="00B210F2">
        <w:rPr>
          <w:b/>
          <w:szCs w:val="24"/>
        </w:rPr>
        <w:t>17</w:t>
      </w:r>
      <w:r w:rsidR="00B210F2" w:rsidRPr="00B210F2">
        <w:rPr>
          <w:b/>
          <w:szCs w:val="24"/>
        </w:rPr>
        <w:t xml:space="preserve">. </w:t>
      </w:r>
      <w:r w:rsidR="00B210F2" w:rsidRPr="00B210F2">
        <w:rPr>
          <w:b/>
          <w:color w:val="212529"/>
          <w:szCs w:val="24"/>
          <w:shd w:val="clear" w:color="auto" w:fill="FFFFFF"/>
        </w:rPr>
        <w:t>Advances in medical knowledge are not always reflected in medical practice in a timely manner. These situations continue to serve as reminders of the need to update and build upon best practices. What is the role of ethics and law in guiding best practices? Consider also the dilemma facing healthcare professionals when technological capabilities outpace our advances in legal and ethical thinking. How can we ensure that we use technology responsibly and ethically? </w:t>
      </w:r>
    </w:p>
    <w:p w:rsidR="0051789A" w:rsidRPr="00B210F2" w:rsidRDefault="0051789A" w:rsidP="00B210F2">
      <w:pPr>
        <w:spacing w:after="0"/>
        <w:ind w:firstLine="720"/>
        <w:rPr>
          <w:szCs w:val="24"/>
        </w:rPr>
      </w:pPr>
      <w:r w:rsidRPr="00B210F2">
        <w:rPr>
          <w:szCs w:val="24"/>
        </w:rPr>
        <w:t>Ethics and law help in maintaining honor and dignity in health. The spirit of cooperation gets promoted through the use of ethics and law to manage health activities (Pozgar, 2019). The dilemma that medics face when technology out space their advances in ethical thinking is confusion. The legal practices in the health profession get maintained. Most medics tend to use technologies to conduct a diagnosis of patient illness without conducting tests. Technology can get used responsibly and ethically by taking care of the equipment. Taking good care of technological equipment would ensure ethical practice gets promoted in any profession. Again, using the copyright law would help the creation of responsible use of technology at the workplace. The use of technologies must follow the copyright law that ensures they get verified for the work in the nursing profession.</w:t>
      </w:r>
    </w:p>
    <w:p w:rsidR="0051789A" w:rsidRPr="00B210F2" w:rsidRDefault="0051789A" w:rsidP="00B210F2">
      <w:pPr>
        <w:spacing w:after="0"/>
        <w:rPr>
          <w:szCs w:val="24"/>
        </w:rPr>
      </w:pPr>
    </w:p>
    <w:p w:rsidR="00B210F2" w:rsidRPr="00B210F2" w:rsidRDefault="00B210F2" w:rsidP="00B210F2">
      <w:pPr>
        <w:spacing w:after="0"/>
        <w:rPr>
          <w:szCs w:val="24"/>
        </w:rPr>
      </w:pPr>
      <w:r w:rsidRPr="00B210F2">
        <w:rPr>
          <w:szCs w:val="24"/>
        </w:rPr>
        <w:br w:type="page"/>
      </w:r>
    </w:p>
    <w:p w:rsidR="0051789A" w:rsidRPr="00B210F2" w:rsidRDefault="0051789A" w:rsidP="00B210F2">
      <w:pPr>
        <w:spacing w:after="0"/>
        <w:jc w:val="center"/>
        <w:rPr>
          <w:szCs w:val="24"/>
        </w:rPr>
      </w:pPr>
      <w:r w:rsidRPr="00B210F2">
        <w:rPr>
          <w:szCs w:val="24"/>
        </w:rPr>
        <w:lastRenderedPageBreak/>
        <w:t>References</w:t>
      </w:r>
    </w:p>
    <w:p w:rsidR="0051789A" w:rsidRPr="00B210F2" w:rsidRDefault="0051789A" w:rsidP="00B210F2">
      <w:pPr>
        <w:spacing w:after="0"/>
        <w:ind w:left="720" w:hanging="720"/>
        <w:rPr>
          <w:szCs w:val="24"/>
        </w:rPr>
      </w:pPr>
      <w:r w:rsidRPr="00B210F2">
        <w:rPr>
          <w:szCs w:val="24"/>
        </w:rPr>
        <w:t xml:space="preserve">Gaffney, A., &amp; McCormick, D. (2017). The Affordable Care Act: implications for health-care equity. </w:t>
      </w:r>
      <w:r w:rsidRPr="00B210F2">
        <w:rPr>
          <w:i/>
          <w:iCs/>
          <w:szCs w:val="24"/>
        </w:rPr>
        <w:t>The Lancet</w:t>
      </w:r>
      <w:r w:rsidRPr="00B210F2">
        <w:rPr>
          <w:szCs w:val="24"/>
        </w:rPr>
        <w:t xml:space="preserve">, </w:t>
      </w:r>
      <w:r w:rsidRPr="00B210F2">
        <w:rPr>
          <w:i/>
          <w:iCs/>
          <w:szCs w:val="24"/>
        </w:rPr>
        <w:t>389</w:t>
      </w:r>
      <w:r w:rsidRPr="00B210F2">
        <w:rPr>
          <w:szCs w:val="24"/>
        </w:rPr>
        <w:t>(10077), 1442-1452.</w:t>
      </w:r>
    </w:p>
    <w:p w:rsidR="0051789A" w:rsidRPr="00B210F2" w:rsidRDefault="0051789A" w:rsidP="00B210F2">
      <w:pPr>
        <w:spacing w:after="0"/>
        <w:ind w:left="720" w:hanging="720"/>
        <w:rPr>
          <w:szCs w:val="24"/>
        </w:rPr>
      </w:pPr>
      <w:r w:rsidRPr="00B210F2">
        <w:rPr>
          <w:szCs w:val="24"/>
        </w:rPr>
        <w:t xml:space="preserve">Jackson, K. (2020). The Repeal of Net Neutrality: Does it Violate Title II of the Civil Rights Act of 1964?. </w:t>
      </w:r>
      <w:r w:rsidRPr="00B210F2">
        <w:rPr>
          <w:i/>
          <w:iCs/>
          <w:szCs w:val="24"/>
        </w:rPr>
        <w:t>Federal Communications Law Journal</w:t>
      </w:r>
      <w:r w:rsidRPr="00B210F2">
        <w:rPr>
          <w:szCs w:val="24"/>
        </w:rPr>
        <w:t xml:space="preserve">, </w:t>
      </w:r>
      <w:r w:rsidRPr="00B210F2">
        <w:rPr>
          <w:i/>
          <w:iCs/>
          <w:szCs w:val="24"/>
        </w:rPr>
        <w:t>73</w:t>
      </w:r>
      <w:r w:rsidRPr="00B210F2">
        <w:rPr>
          <w:szCs w:val="24"/>
        </w:rPr>
        <w:t>(1), 145-0_8.</w:t>
      </w:r>
    </w:p>
    <w:p w:rsidR="0051789A" w:rsidRPr="00B210F2" w:rsidRDefault="0051789A" w:rsidP="00B210F2">
      <w:pPr>
        <w:spacing w:after="0"/>
        <w:ind w:left="720" w:hanging="720"/>
        <w:rPr>
          <w:szCs w:val="24"/>
        </w:rPr>
      </w:pPr>
      <w:r w:rsidRPr="00B210F2">
        <w:rPr>
          <w:szCs w:val="24"/>
        </w:rPr>
        <w:t xml:space="preserve">Pozgar, G. D. (2019). </w:t>
      </w:r>
      <w:r w:rsidRPr="00B210F2">
        <w:rPr>
          <w:i/>
          <w:iCs/>
          <w:szCs w:val="24"/>
        </w:rPr>
        <w:t>Legal and ethical issues for health professionals</w:t>
      </w:r>
      <w:r w:rsidRPr="00B210F2">
        <w:rPr>
          <w:szCs w:val="24"/>
        </w:rPr>
        <w:t>. Jones &amp; Bartlett Learning.</w:t>
      </w:r>
    </w:p>
    <w:p w:rsidR="0051789A" w:rsidRPr="00B210F2" w:rsidRDefault="0051789A" w:rsidP="00B210F2">
      <w:pPr>
        <w:spacing w:after="0"/>
        <w:ind w:left="720" w:hanging="720"/>
        <w:rPr>
          <w:szCs w:val="24"/>
        </w:rPr>
      </w:pPr>
      <w:r w:rsidRPr="00B210F2">
        <w:rPr>
          <w:szCs w:val="24"/>
        </w:rPr>
        <w:t xml:space="preserve">Tamm, M. (2018). Training and changes in job Tasks. </w:t>
      </w:r>
      <w:r w:rsidRPr="00B210F2">
        <w:rPr>
          <w:i/>
          <w:iCs/>
          <w:szCs w:val="24"/>
        </w:rPr>
        <w:t>Economics of Education Review</w:t>
      </w:r>
      <w:r w:rsidRPr="00B210F2">
        <w:rPr>
          <w:szCs w:val="24"/>
        </w:rPr>
        <w:t xml:space="preserve">, </w:t>
      </w:r>
      <w:r w:rsidRPr="00B210F2">
        <w:rPr>
          <w:i/>
          <w:iCs/>
          <w:szCs w:val="24"/>
        </w:rPr>
        <w:t>67</w:t>
      </w:r>
      <w:r w:rsidRPr="00B210F2">
        <w:rPr>
          <w:szCs w:val="24"/>
        </w:rPr>
        <w:t>, 137-147.</w:t>
      </w:r>
    </w:p>
    <w:p w:rsidR="0051789A" w:rsidRPr="00B210F2" w:rsidRDefault="0051789A" w:rsidP="00B210F2">
      <w:pPr>
        <w:spacing w:after="0"/>
        <w:ind w:left="720" w:hanging="720"/>
        <w:rPr>
          <w:szCs w:val="24"/>
        </w:rPr>
      </w:pPr>
      <w:r w:rsidRPr="00B210F2">
        <w:rPr>
          <w:szCs w:val="24"/>
        </w:rPr>
        <w:t xml:space="preserve">Ting-Toomey, S., &amp; Dorjee, T. (2018). </w:t>
      </w:r>
      <w:r w:rsidRPr="00B210F2">
        <w:rPr>
          <w:i/>
          <w:iCs/>
          <w:szCs w:val="24"/>
        </w:rPr>
        <w:t>Communicating across cultures</w:t>
      </w:r>
      <w:r w:rsidRPr="00B210F2">
        <w:rPr>
          <w:szCs w:val="24"/>
        </w:rPr>
        <w:t>. Guilford Publications.</w:t>
      </w:r>
    </w:p>
    <w:p w:rsidR="0051789A" w:rsidRPr="00B210F2" w:rsidRDefault="0051789A" w:rsidP="00B210F2">
      <w:pPr>
        <w:spacing w:after="0"/>
        <w:ind w:left="284" w:hanging="284"/>
        <w:rPr>
          <w:szCs w:val="24"/>
        </w:rPr>
      </w:pPr>
    </w:p>
    <w:p w:rsidR="00175783" w:rsidRPr="00B210F2" w:rsidRDefault="00175783" w:rsidP="00B210F2">
      <w:pPr>
        <w:spacing w:after="0"/>
        <w:rPr>
          <w:szCs w:val="24"/>
        </w:rPr>
      </w:pPr>
    </w:p>
    <w:sectPr w:rsidR="00175783" w:rsidRPr="00B210F2"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6D" w:rsidRDefault="00DC0F6D" w:rsidP="00790ECD">
      <w:pPr>
        <w:spacing w:after="0" w:line="240" w:lineRule="auto"/>
      </w:pPr>
      <w:r>
        <w:separator/>
      </w:r>
    </w:p>
  </w:endnote>
  <w:endnote w:type="continuationSeparator" w:id="0">
    <w:p w:rsidR="00DC0F6D" w:rsidRDefault="00DC0F6D"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6D" w:rsidRDefault="00DC0F6D" w:rsidP="00790ECD">
      <w:pPr>
        <w:spacing w:after="0" w:line="240" w:lineRule="auto"/>
      </w:pPr>
      <w:r>
        <w:separator/>
      </w:r>
    </w:p>
  </w:footnote>
  <w:footnote w:type="continuationSeparator" w:id="0">
    <w:p w:rsidR="00DC0F6D" w:rsidRDefault="00DC0F6D"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51789A">
        <w:pPr>
          <w:pStyle w:val="Header"/>
          <w:jc w:val="right"/>
        </w:pPr>
        <w:r>
          <w:rPr>
            <w:color w:val="1D1D1D"/>
            <w:szCs w:val="24"/>
          </w:rPr>
          <w:t>HCM 308</w:t>
        </w:r>
        <w:r w:rsidR="003A2F85">
          <w:tab/>
        </w:r>
        <w:r w:rsidR="003A2F85">
          <w:tab/>
        </w:r>
        <w:r w:rsidR="00052DA2">
          <w:fldChar w:fldCharType="begin"/>
        </w:r>
        <w:r w:rsidR="00052DA2">
          <w:instrText xml:space="preserve"> PAGE   \* MERGEFORMAT </w:instrText>
        </w:r>
        <w:r w:rsidR="00052DA2">
          <w:fldChar w:fldCharType="separate"/>
        </w:r>
        <w:r w:rsidR="00B210F2">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51789A">
      <w:rPr>
        <w:color w:val="1D1D1D"/>
        <w:szCs w:val="24"/>
      </w:rPr>
      <w:t xml:space="preserve">HCM 308 </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1789A"/>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210F2"/>
    <w:rsid w:val="00B30CA8"/>
    <w:rsid w:val="00B365FE"/>
    <w:rsid w:val="00B63977"/>
    <w:rsid w:val="00BA1633"/>
    <w:rsid w:val="00C754FD"/>
    <w:rsid w:val="00D15FB4"/>
    <w:rsid w:val="00D41388"/>
    <w:rsid w:val="00D5124F"/>
    <w:rsid w:val="00D53B8C"/>
    <w:rsid w:val="00D60C43"/>
    <w:rsid w:val="00D77F2F"/>
    <w:rsid w:val="00D86418"/>
    <w:rsid w:val="00DB523F"/>
    <w:rsid w:val="00DC0F6D"/>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9F84"/>
  <w15:docId w15:val="{7BA6016C-F845-4074-A372-05673F57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paragraph" w:styleId="Heading5">
    <w:name w:val="heading 5"/>
    <w:basedOn w:val="Normal"/>
    <w:link w:val="Heading5Char"/>
    <w:uiPriority w:val="9"/>
    <w:qFormat/>
    <w:rsid w:val="00B210F2"/>
    <w:pPr>
      <w:spacing w:before="100" w:beforeAutospacing="1" w:after="100" w:afterAutospacing="1" w:line="240" w:lineRule="auto"/>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Emphasis">
    <w:name w:val="Emphasis"/>
    <w:basedOn w:val="DefaultParagraphFont"/>
    <w:uiPriority w:val="20"/>
    <w:qFormat/>
    <w:rsid w:val="00B210F2"/>
    <w:rPr>
      <w:i/>
      <w:iCs/>
    </w:rPr>
  </w:style>
  <w:style w:type="character" w:customStyle="1" w:styleId="Heading5Char">
    <w:name w:val="Heading 5 Char"/>
    <w:basedOn w:val="DefaultParagraphFont"/>
    <w:link w:val="Heading5"/>
    <w:uiPriority w:val="9"/>
    <w:rsid w:val="00B210F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1E05-2039-4D89-8210-AF2C6EA1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2021-04-14T17:50:00Z</dcterms:created>
  <dcterms:modified xsi:type="dcterms:W3CDTF">2021-04-14T17:50:00Z</dcterms:modified>
</cp:coreProperties>
</file>